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Default="002A6109" w:rsidP="009B6FD7">
      <w:pPr>
        <w:spacing w:after="480"/>
      </w:pPr>
      <w:r>
        <w:rPr>
          <w:noProof/>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DB6D88">
        <w:trPr>
          <w:tblHeader/>
        </w:trPr>
        <w:tc>
          <w:tcPr>
            <w:tcW w:w="3456" w:type="dxa"/>
            <w:tcBorders>
              <w:bottom w:val="single" w:sz="18" w:space="0" w:color="auto"/>
            </w:tcBorders>
          </w:tcPr>
          <w:p w14:paraId="4BD626CD" w14:textId="77777777" w:rsidR="009B6FD7" w:rsidRPr="009B6FD7" w:rsidRDefault="009B6FD7" w:rsidP="009B6FD7">
            <w:pPr>
              <w:pStyle w:val="Heading1"/>
            </w:pPr>
            <w:r w:rsidRPr="009B6FD7">
              <w:t>Report for:</w:t>
            </w:r>
          </w:p>
        </w:tc>
        <w:tc>
          <w:tcPr>
            <w:tcW w:w="5054" w:type="dxa"/>
            <w:tcBorders>
              <w:bottom w:val="single" w:sz="18" w:space="0" w:color="auto"/>
            </w:tcBorders>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DB6D88">
        <w:tc>
          <w:tcPr>
            <w:tcW w:w="3456" w:type="dxa"/>
            <w:tcBorders>
              <w:top w:val="single" w:sz="18" w:space="0" w:color="auto"/>
            </w:tcBorders>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Borders>
              <w:top w:val="single" w:sz="18" w:space="0" w:color="auto"/>
            </w:tcBorders>
          </w:tcPr>
          <w:p w14:paraId="3575FC37" w14:textId="08388965" w:rsidR="009B6FD7" w:rsidRDefault="00BF13C3" w:rsidP="00DB6D88">
            <w:pPr>
              <w:pStyle w:val="Infotext"/>
              <w:rPr>
                <w:rFonts w:cs="Arial"/>
              </w:rPr>
            </w:pPr>
            <w:r>
              <w:rPr>
                <w:rFonts w:cs="Arial"/>
              </w:rPr>
              <w:t>25</w:t>
            </w:r>
            <w:r w:rsidRPr="00BF13C3">
              <w:rPr>
                <w:rFonts w:cs="Arial"/>
                <w:vertAlign w:val="superscript"/>
              </w:rPr>
              <w:t>th</w:t>
            </w:r>
            <w:r>
              <w:rPr>
                <w:rFonts w:cs="Arial"/>
              </w:rPr>
              <w:t xml:space="preserve"> January 2024</w:t>
            </w:r>
          </w:p>
        </w:tc>
      </w:tr>
      <w:tr w:rsidR="009B6FD7" w14:paraId="577E5DC8" w14:textId="77777777" w:rsidTr="00DB6D88">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775B06AB" w:rsidR="009B6FD7" w:rsidRDefault="00BF13C3" w:rsidP="00DB6D88">
            <w:pPr>
              <w:pStyle w:val="Infotext"/>
              <w:rPr>
                <w:rFonts w:cs="Arial"/>
              </w:rPr>
            </w:pPr>
            <w:r>
              <w:rPr>
                <w:rFonts w:cs="Arial"/>
              </w:rPr>
              <w:t>N</w:t>
            </w:r>
            <w:r w:rsidR="008A7978">
              <w:rPr>
                <w:rFonts w:cs="Arial"/>
              </w:rPr>
              <w:t xml:space="preserve">orth </w:t>
            </w:r>
            <w:r>
              <w:rPr>
                <w:rFonts w:cs="Arial"/>
              </w:rPr>
              <w:t>W</w:t>
            </w:r>
            <w:r w:rsidR="008A7978">
              <w:rPr>
                <w:rFonts w:cs="Arial"/>
              </w:rPr>
              <w:t xml:space="preserve">est </w:t>
            </w:r>
            <w:r>
              <w:rPr>
                <w:rFonts w:cs="Arial"/>
              </w:rPr>
              <w:t>L</w:t>
            </w:r>
            <w:r w:rsidR="008A7978">
              <w:rPr>
                <w:rFonts w:cs="Arial"/>
              </w:rPr>
              <w:t>ondon</w:t>
            </w:r>
            <w:r>
              <w:rPr>
                <w:rFonts w:cs="Arial"/>
              </w:rPr>
              <w:t xml:space="preserve"> Child Death Review (CDR) Annual Report 2022</w:t>
            </w:r>
            <w:r w:rsidR="002F05CC">
              <w:rPr>
                <w:rFonts w:cs="Arial"/>
              </w:rPr>
              <w:t>-</w:t>
            </w:r>
            <w:r>
              <w:rPr>
                <w:rFonts w:cs="Arial"/>
              </w:rPr>
              <w:t>3</w:t>
            </w:r>
          </w:p>
        </w:tc>
      </w:tr>
      <w:tr w:rsidR="009B6FD7" w14:paraId="729405DE" w14:textId="77777777" w:rsidTr="00DB6D88">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F5247A9" w14:textId="07F8BEE0" w:rsidR="009B6FD7" w:rsidRPr="00F37806" w:rsidRDefault="000937AC" w:rsidP="00F37806">
            <w:pPr>
              <w:pStyle w:val="Infotext"/>
              <w:rPr>
                <w:rFonts w:cs="Arial"/>
                <w:b/>
                <w:bCs/>
                <w:color w:val="FF0000"/>
              </w:rPr>
            </w:pPr>
            <w:r>
              <w:t>Rob Hurd, C</w:t>
            </w:r>
            <w:r w:rsidR="0063065F">
              <w:t xml:space="preserve">hief </w:t>
            </w:r>
            <w:r>
              <w:t>E</w:t>
            </w:r>
            <w:r w:rsidR="0063065F">
              <w:t xml:space="preserve">xecutive </w:t>
            </w:r>
            <w:r>
              <w:t>O</w:t>
            </w:r>
            <w:r w:rsidR="0063065F">
              <w:t>fficer</w:t>
            </w:r>
            <w:r>
              <w:t xml:space="preserve"> of I</w:t>
            </w:r>
            <w:r w:rsidR="00BE7746">
              <w:t>ntegrated Care System</w:t>
            </w:r>
          </w:p>
        </w:tc>
      </w:tr>
      <w:tr w:rsidR="009B6FD7" w14:paraId="0820659A" w14:textId="77777777" w:rsidTr="00DB6D88">
        <w:tc>
          <w:tcPr>
            <w:tcW w:w="3456" w:type="dxa"/>
          </w:tcPr>
          <w:p w14:paraId="33B20FEF" w14:textId="77777777"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6EB4F9AC" w14:textId="2BAF5191" w:rsidR="009B6FD7" w:rsidRDefault="009B6FD7" w:rsidP="009B6FD7">
            <w:pPr>
              <w:pStyle w:val="Infotext"/>
              <w:rPr>
                <w:rFonts w:cs="Arial"/>
              </w:rPr>
            </w:pPr>
            <w:r>
              <w:rPr>
                <w:rFonts w:cs="Arial"/>
              </w:rPr>
              <w:t xml:space="preserve">Yes </w:t>
            </w:r>
          </w:p>
          <w:p w14:paraId="2FDB38D7" w14:textId="2D341090" w:rsidR="009B6FD7" w:rsidRDefault="009B6FD7" w:rsidP="009B6FD7">
            <w:pPr>
              <w:pStyle w:val="Infotext"/>
              <w:rPr>
                <w:rFonts w:cs="Arial"/>
              </w:rPr>
            </w:pPr>
          </w:p>
        </w:tc>
      </w:tr>
      <w:tr w:rsidR="009B6FD7" w14:paraId="3E825936" w14:textId="77777777" w:rsidTr="00DB6D88">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40D06A69" w:rsidR="009B6FD7" w:rsidRDefault="00BF13C3" w:rsidP="00DB6D88">
            <w:pPr>
              <w:pStyle w:val="Infotext"/>
            </w:pPr>
            <w:r>
              <w:rPr>
                <w:rFonts w:cs="Arial"/>
                <w:szCs w:val="24"/>
              </w:rPr>
              <w:t>All</w:t>
            </w:r>
          </w:p>
        </w:tc>
      </w:tr>
      <w:tr w:rsidR="009B6FD7" w14:paraId="2F9866C6" w14:textId="77777777" w:rsidTr="00DB6D88">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3ABFF214" w14:textId="77777777" w:rsidR="009B6FD7" w:rsidRDefault="009B6FD7" w:rsidP="00DB6D88">
            <w:pPr>
              <w:pStyle w:val="Infotext"/>
            </w:pPr>
          </w:p>
          <w:p w14:paraId="70B6CB0B" w14:textId="7A1BC9E6" w:rsidR="009B6FD7" w:rsidRDefault="00BF13C3" w:rsidP="00DB6D88">
            <w:pPr>
              <w:pStyle w:val="Infotext"/>
            </w:pPr>
            <w:r>
              <w:t>NWL CDR Annual Report 2022-23</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00DB6D88">
        <w:trPr>
          <w:tblHeader/>
        </w:trPr>
        <w:tc>
          <w:tcPr>
            <w:tcW w:w="8525" w:type="dxa"/>
            <w:tcBorders>
              <w:left w:val="nil"/>
              <w:bottom w:val="nil"/>
              <w:right w:val="nil"/>
            </w:tcBorders>
          </w:tcPr>
          <w:p w14:paraId="03D09642" w14:textId="1047636E" w:rsidR="001976BF" w:rsidRDefault="00AB510E" w:rsidP="00DB6D88">
            <w:pPr>
              <w:rPr>
                <w:b/>
                <w:color w:val="000000" w:themeColor="text1"/>
              </w:rPr>
            </w:pPr>
            <w:r w:rsidRPr="00AB510E">
              <w:rPr>
                <w:bCs/>
                <w:color w:val="000000" w:themeColor="text1"/>
              </w:rPr>
              <w:t>This report describes the work of the</w:t>
            </w:r>
            <w:r>
              <w:rPr>
                <w:b/>
                <w:color w:val="000000" w:themeColor="text1"/>
              </w:rPr>
              <w:t xml:space="preserve"> </w:t>
            </w:r>
            <w:r w:rsidRPr="00AB510E">
              <w:rPr>
                <w:bCs/>
                <w:color w:val="000000" w:themeColor="text1"/>
              </w:rPr>
              <w:t>NWL Child</w:t>
            </w:r>
            <w:r>
              <w:rPr>
                <w:bCs/>
                <w:color w:val="000000" w:themeColor="text1"/>
              </w:rPr>
              <w:t xml:space="preserve"> Review Team for year 2023-4 and </w:t>
            </w:r>
            <w:r w:rsidR="000F225B">
              <w:rPr>
                <w:bCs/>
                <w:color w:val="000000" w:themeColor="text1"/>
              </w:rPr>
              <w:t xml:space="preserve">highlights some issues relating to child mortality that relate to NWL as a whole and </w:t>
            </w:r>
            <w:r w:rsidR="000F225B" w:rsidRPr="000F225B">
              <w:rPr>
                <w:bCs/>
                <w:color w:val="000000" w:themeColor="text1"/>
              </w:rPr>
              <w:t>are also applicable to Harrow</w:t>
            </w:r>
          </w:p>
          <w:p w14:paraId="77FC68B9" w14:textId="77777777" w:rsidR="00AB510E" w:rsidRPr="00AB510E" w:rsidRDefault="00AB510E" w:rsidP="00DB6D88">
            <w:pPr>
              <w:rPr>
                <w:rFonts w:ascii="Arial Bold" w:hAnsi="Arial Bold"/>
                <w:b/>
                <w:color w:val="000000" w:themeColor="text1"/>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357466FA" w14:textId="77777777" w:rsidR="001976BF" w:rsidRDefault="001976BF" w:rsidP="001976BF">
            <w:r>
              <w:t>The Board is requested to:</w:t>
            </w:r>
          </w:p>
          <w:p w14:paraId="4D9F4B54" w14:textId="37049A62" w:rsidR="001976BF" w:rsidRDefault="000F225B" w:rsidP="001976BF">
            <w:r>
              <w:t>Receive the contents of the report and to particularly note the information on page</w:t>
            </w:r>
            <w:r w:rsidR="00965538">
              <w:t>s 31 and</w:t>
            </w:r>
            <w:r>
              <w:t xml:space="preserve"> 35 as potentially assisting with the HWB strategic objective of reducing child mortality.</w:t>
            </w:r>
          </w:p>
        </w:tc>
      </w:tr>
    </w:tbl>
    <w:p w14:paraId="488FFA2E" w14:textId="77777777" w:rsidR="00C230CC" w:rsidRDefault="00C230CC" w:rsidP="009B6FD7">
      <w:pPr>
        <w:pStyle w:val="Heading2"/>
      </w:pPr>
    </w:p>
    <w:p w14:paraId="2C7AE7BD" w14:textId="77777777" w:rsidR="00C230CC" w:rsidRDefault="00C230CC" w:rsidP="009B6FD7">
      <w:pPr>
        <w:pStyle w:val="Heading2"/>
      </w:pPr>
    </w:p>
    <w:p w14:paraId="3AF8ECC6" w14:textId="567DA049" w:rsidR="009B6FD7" w:rsidRDefault="009B6FD7" w:rsidP="009B6FD7">
      <w:pPr>
        <w:pStyle w:val="Heading2"/>
      </w:pPr>
      <w:r>
        <w:lastRenderedPageBreak/>
        <w:t>Section 2 – Report</w:t>
      </w:r>
    </w:p>
    <w:p w14:paraId="72106856" w14:textId="399A0CA8" w:rsidR="001976BF" w:rsidRPr="004957DC" w:rsidRDefault="001976BF" w:rsidP="001976BF">
      <w:pPr>
        <w:spacing w:before="240"/>
        <w:rPr>
          <w:rFonts w:cs="Arial"/>
          <w:bCs/>
          <w:color w:val="000000" w:themeColor="text1"/>
          <w:sz w:val="28"/>
          <w:szCs w:val="28"/>
          <w:u w:val="single"/>
        </w:rPr>
      </w:pPr>
      <w:r w:rsidRPr="004957DC">
        <w:rPr>
          <w:rFonts w:cs="Arial"/>
          <w:bCs/>
          <w:color w:val="000000" w:themeColor="text1"/>
          <w:sz w:val="28"/>
          <w:szCs w:val="28"/>
          <w:u w:val="single"/>
        </w:rPr>
        <w:t xml:space="preserve">Background </w:t>
      </w:r>
    </w:p>
    <w:p w14:paraId="26BCC856" w14:textId="171D7F75" w:rsidR="000F225B" w:rsidRPr="003163B5" w:rsidRDefault="000F225B" w:rsidP="001976BF">
      <w:pPr>
        <w:spacing w:before="240"/>
        <w:rPr>
          <w:rFonts w:cs="Arial"/>
          <w:bCs/>
          <w:color w:val="000000" w:themeColor="text1"/>
          <w:szCs w:val="24"/>
        </w:rPr>
      </w:pPr>
      <w:r w:rsidRPr="003163B5">
        <w:rPr>
          <w:rFonts w:cs="Arial"/>
          <w:bCs/>
          <w:color w:val="000000" w:themeColor="text1"/>
          <w:szCs w:val="24"/>
        </w:rPr>
        <w:t>In 2019 the Child Death Review Process (</w:t>
      </w:r>
      <w:r w:rsidR="00C230CC" w:rsidRPr="003163B5">
        <w:rPr>
          <w:rFonts w:cs="Arial"/>
          <w:bCs/>
          <w:color w:val="000000" w:themeColor="text1"/>
          <w:szCs w:val="24"/>
        </w:rPr>
        <w:t xml:space="preserve">The </w:t>
      </w:r>
      <w:r w:rsidRPr="003163B5">
        <w:rPr>
          <w:rFonts w:cs="Arial"/>
          <w:bCs/>
          <w:color w:val="000000" w:themeColor="text1"/>
          <w:szCs w:val="24"/>
        </w:rPr>
        <w:t>CDR</w:t>
      </w:r>
      <w:r w:rsidR="00C230CC" w:rsidRPr="003163B5">
        <w:rPr>
          <w:rFonts w:cs="Arial"/>
          <w:bCs/>
          <w:color w:val="000000" w:themeColor="text1"/>
          <w:szCs w:val="24"/>
        </w:rPr>
        <w:t xml:space="preserve"> Process </w:t>
      </w:r>
      <w:r w:rsidRPr="003163B5">
        <w:rPr>
          <w:rFonts w:cs="Arial"/>
          <w:bCs/>
          <w:color w:val="000000" w:themeColor="text1"/>
          <w:szCs w:val="24"/>
        </w:rPr>
        <w:t>) was significantly altered</w:t>
      </w:r>
      <w:r w:rsidR="00C230CC" w:rsidRPr="003163B5">
        <w:rPr>
          <w:rFonts w:cs="Arial"/>
          <w:bCs/>
          <w:color w:val="000000" w:themeColor="text1"/>
          <w:szCs w:val="24"/>
        </w:rPr>
        <w:t xml:space="preserve">. The previous single borough process was replaced with the NWL process. This move enables </w:t>
      </w:r>
      <w:r w:rsidRPr="003163B5">
        <w:rPr>
          <w:rFonts w:cs="Arial"/>
          <w:bCs/>
          <w:color w:val="000000" w:themeColor="text1"/>
          <w:szCs w:val="24"/>
        </w:rPr>
        <w:t xml:space="preserve">larger case-loads </w:t>
      </w:r>
      <w:r w:rsidR="00C230CC" w:rsidRPr="003163B5">
        <w:rPr>
          <w:rFonts w:cs="Arial"/>
          <w:bCs/>
          <w:color w:val="000000" w:themeColor="text1"/>
          <w:szCs w:val="24"/>
        </w:rPr>
        <w:t xml:space="preserve">to be </w:t>
      </w:r>
      <w:r w:rsidRPr="003163B5">
        <w:rPr>
          <w:rFonts w:cs="Arial"/>
          <w:bCs/>
          <w:color w:val="000000" w:themeColor="text1"/>
          <w:szCs w:val="24"/>
        </w:rPr>
        <w:t xml:space="preserve">considered by multi agency professionals </w:t>
      </w:r>
      <w:r w:rsidR="00C230CC" w:rsidRPr="003163B5">
        <w:rPr>
          <w:rFonts w:cs="Arial"/>
          <w:bCs/>
          <w:color w:val="000000" w:themeColor="text1"/>
          <w:szCs w:val="24"/>
        </w:rPr>
        <w:t>ensuring</w:t>
      </w:r>
      <w:r w:rsidRPr="003163B5">
        <w:rPr>
          <w:rFonts w:cs="Arial"/>
          <w:bCs/>
          <w:color w:val="000000" w:themeColor="text1"/>
          <w:szCs w:val="24"/>
        </w:rPr>
        <w:t xml:space="preserve"> trends and themes relating to child mortality to be better identified and actioned.</w:t>
      </w:r>
      <w:r w:rsidR="00C230CC" w:rsidRPr="003163B5">
        <w:rPr>
          <w:rFonts w:cs="Arial"/>
          <w:bCs/>
          <w:color w:val="000000" w:themeColor="text1"/>
          <w:szCs w:val="24"/>
        </w:rPr>
        <w:t xml:space="preserve"> </w:t>
      </w:r>
    </w:p>
    <w:p w14:paraId="3F472FFA" w14:textId="089CAF69" w:rsidR="00C230CC" w:rsidRPr="003163B5" w:rsidRDefault="00C230CC" w:rsidP="001976BF">
      <w:pPr>
        <w:spacing w:before="240"/>
        <w:rPr>
          <w:rFonts w:cs="Arial"/>
          <w:bCs/>
          <w:color w:val="000000" w:themeColor="text1"/>
          <w:szCs w:val="24"/>
        </w:rPr>
      </w:pPr>
      <w:r w:rsidRPr="003163B5">
        <w:rPr>
          <w:rFonts w:cs="Arial"/>
          <w:bCs/>
          <w:color w:val="000000" w:themeColor="text1"/>
          <w:szCs w:val="24"/>
        </w:rPr>
        <w:t xml:space="preserve">This is the report of the NWL ICB for 2023 – </w:t>
      </w:r>
      <w:r w:rsidR="008A7978">
        <w:rPr>
          <w:rFonts w:cs="Arial"/>
          <w:bCs/>
          <w:color w:val="000000" w:themeColor="text1"/>
          <w:szCs w:val="24"/>
        </w:rPr>
        <w:t>2</w:t>
      </w:r>
      <w:r w:rsidRPr="003163B5">
        <w:rPr>
          <w:rFonts w:cs="Arial"/>
          <w:bCs/>
          <w:color w:val="000000" w:themeColor="text1"/>
          <w:szCs w:val="24"/>
        </w:rPr>
        <w:t xml:space="preserve">4. </w:t>
      </w:r>
    </w:p>
    <w:p w14:paraId="5A601E71" w14:textId="1ADE925B" w:rsidR="00C230CC" w:rsidRPr="003163B5" w:rsidRDefault="00C230CC" w:rsidP="001976BF">
      <w:pPr>
        <w:spacing w:before="240"/>
        <w:rPr>
          <w:rFonts w:cs="Arial"/>
          <w:bCs/>
          <w:color w:val="000000" w:themeColor="text1"/>
          <w:szCs w:val="24"/>
        </w:rPr>
      </w:pPr>
      <w:r w:rsidRPr="003163B5">
        <w:rPr>
          <w:rFonts w:cs="Arial"/>
          <w:bCs/>
          <w:color w:val="000000" w:themeColor="text1"/>
          <w:szCs w:val="24"/>
        </w:rPr>
        <w:t xml:space="preserve">This report describes the work of the CDR team and reports some of its findings. It also shows how the analysis of child death data over a large population aggregated over the four years since the NWL CDR Process began allows for the identification of small populations where child mortality is significantly higher than in other areas. Some small population areas in Harrow are identified as having higher child mortality. </w:t>
      </w:r>
    </w:p>
    <w:p w14:paraId="458F462A" w14:textId="2483A4C8" w:rsidR="00116BAB" w:rsidRPr="003163B5" w:rsidRDefault="00116BAB" w:rsidP="001976BF">
      <w:pPr>
        <w:spacing w:before="240"/>
        <w:rPr>
          <w:rFonts w:cs="Arial"/>
          <w:bCs/>
          <w:color w:val="000000" w:themeColor="text1"/>
          <w:szCs w:val="24"/>
        </w:rPr>
      </w:pPr>
    </w:p>
    <w:p w14:paraId="0A4D1EB4" w14:textId="1A483D35" w:rsidR="00116BAB" w:rsidRPr="003163B5" w:rsidRDefault="00116BAB" w:rsidP="00116BAB">
      <w:pPr>
        <w:rPr>
          <w:rFonts w:cs="Arial"/>
          <w:bCs/>
          <w:szCs w:val="24"/>
        </w:rPr>
      </w:pPr>
      <w:r w:rsidRPr="003163B5">
        <w:rPr>
          <w:rFonts w:cs="Arial"/>
          <w:bCs/>
          <w:szCs w:val="24"/>
        </w:rPr>
        <w:t xml:space="preserve">LSOA  no </w:t>
      </w:r>
      <w:r w:rsidRPr="003163B5">
        <w:rPr>
          <w:rFonts w:cs="Arial"/>
          <w:bCs/>
          <w:szCs w:val="24"/>
        </w:rPr>
        <w:tab/>
        <w:t>Ward</w:t>
      </w:r>
    </w:p>
    <w:p w14:paraId="4B9F92F1" w14:textId="32A25FF6" w:rsidR="00116BAB" w:rsidRPr="003163B5" w:rsidRDefault="00116BAB" w:rsidP="00116BAB">
      <w:pPr>
        <w:rPr>
          <w:rFonts w:cs="Arial"/>
          <w:bCs/>
          <w:szCs w:val="24"/>
        </w:rPr>
      </w:pPr>
      <w:r w:rsidRPr="003163B5">
        <w:rPr>
          <w:rFonts w:cs="Arial"/>
          <w:bCs/>
          <w:szCs w:val="24"/>
        </w:rPr>
        <w:t>2213-</w:t>
      </w:r>
      <w:r w:rsidRPr="003163B5">
        <w:rPr>
          <w:rFonts w:cs="Arial"/>
          <w:bCs/>
          <w:szCs w:val="24"/>
        </w:rPr>
        <w:tab/>
      </w:r>
      <w:r w:rsidRPr="003163B5">
        <w:rPr>
          <w:rFonts w:cs="Arial"/>
          <w:bCs/>
          <w:szCs w:val="24"/>
        </w:rPr>
        <w:tab/>
        <w:t>Roxbourne</w:t>
      </w:r>
    </w:p>
    <w:p w14:paraId="43D50031" w14:textId="0C8A59C4" w:rsidR="00116BAB" w:rsidRPr="003163B5" w:rsidRDefault="00116BAB" w:rsidP="00116BAB">
      <w:pPr>
        <w:rPr>
          <w:rFonts w:cs="Arial"/>
          <w:bCs/>
          <w:szCs w:val="24"/>
        </w:rPr>
      </w:pPr>
      <w:r w:rsidRPr="003163B5">
        <w:rPr>
          <w:rFonts w:cs="Arial"/>
          <w:bCs/>
          <w:szCs w:val="24"/>
        </w:rPr>
        <w:t xml:space="preserve">2117- </w:t>
      </w:r>
      <w:r w:rsidRPr="003163B5">
        <w:rPr>
          <w:rFonts w:cs="Arial"/>
          <w:bCs/>
          <w:szCs w:val="24"/>
        </w:rPr>
        <w:tab/>
      </w:r>
      <w:r w:rsidRPr="003163B5">
        <w:rPr>
          <w:rFonts w:cs="Arial"/>
          <w:bCs/>
          <w:szCs w:val="24"/>
        </w:rPr>
        <w:tab/>
        <w:t>Canons</w:t>
      </w:r>
    </w:p>
    <w:p w14:paraId="5D752D11" w14:textId="39F1CE76" w:rsidR="00116BAB" w:rsidRPr="003163B5" w:rsidRDefault="00116BAB" w:rsidP="00116BAB">
      <w:pPr>
        <w:rPr>
          <w:rFonts w:cs="Arial"/>
          <w:bCs/>
          <w:szCs w:val="24"/>
        </w:rPr>
      </w:pPr>
      <w:r w:rsidRPr="003163B5">
        <w:rPr>
          <w:rFonts w:cs="Arial"/>
          <w:bCs/>
          <w:szCs w:val="24"/>
        </w:rPr>
        <w:t>2118-</w:t>
      </w:r>
      <w:r w:rsidRPr="003163B5">
        <w:rPr>
          <w:rFonts w:cs="Arial"/>
          <w:bCs/>
          <w:szCs w:val="24"/>
        </w:rPr>
        <w:tab/>
      </w:r>
      <w:r w:rsidRPr="003163B5">
        <w:rPr>
          <w:rFonts w:cs="Arial"/>
          <w:bCs/>
          <w:szCs w:val="24"/>
        </w:rPr>
        <w:tab/>
        <w:t>Edgware</w:t>
      </w:r>
    </w:p>
    <w:p w14:paraId="734EDA23" w14:textId="2D15D74F" w:rsidR="00116BAB" w:rsidRPr="003163B5" w:rsidRDefault="00116BAB" w:rsidP="00116BAB">
      <w:pPr>
        <w:rPr>
          <w:rFonts w:cs="Arial"/>
          <w:bCs/>
          <w:szCs w:val="24"/>
        </w:rPr>
      </w:pPr>
      <w:r w:rsidRPr="003163B5">
        <w:rPr>
          <w:rFonts w:cs="Arial"/>
          <w:bCs/>
          <w:szCs w:val="24"/>
        </w:rPr>
        <w:t xml:space="preserve">2238- </w:t>
      </w:r>
      <w:r w:rsidRPr="003163B5">
        <w:rPr>
          <w:rFonts w:cs="Arial"/>
          <w:bCs/>
          <w:szCs w:val="24"/>
        </w:rPr>
        <w:tab/>
      </w:r>
      <w:r w:rsidRPr="003163B5">
        <w:rPr>
          <w:rFonts w:cs="Arial"/>
          <w:bCs/>
          <w:szCs w:val="24"/>
        </w:rPr>
        <w:tab/>
        <w:t>West Harrow</w:t>
      </w:r>
    </w:p>
    <w:p w14:paraId="33135F4F" w14:textId="77777777" w:rsidR="00116BAB" w:rsidRPr="003163B5" w:rsidRDefault="00116BAB" w:rsidP="00116BAB">
      <w:pPr>
        <w:rPr>
          <w:rFonts w:cs="Arial"/>
          <w:bCs/>
          <w:szCs w:val="24"/>
        </w:rPr>
      </w:pPr>
      <w:r w:rsidRPr="003163B5">
        <w:rPr>
          <w:rFonts w:cs="Arial"/>
          <w:bCs/>
          <w:szCs w:val="24"/>
        </w:rPr>
        <w:t xml:space="preserve">2234- </w:t>
      </w:r>
      <w:r w:rsidRPr="003163B5">
        <w:rPr>
          <w:rFonts w:cs="Arial"/>
          <w:bCs/>
          <w:szCs w:val="24"/>
        </w:rPr>
        <w:tab/>
      </w:r>
      <w:r w:rsidRPr="003163B5">
        <w:rPr>
          <w:rFonts w:cs="Arial"/>
          <w:bCs/>
          <w:szCs w:val="24"/>
        </w:rPr>
        <w:tab/>
        <w:t>Wealdstone</w:t>
      </w:r>
    </w:p>
    <w:p w14:paraId="093C3770" w14:textId="6060CFC0" w:rsidR="00116BAB" w:rsidRPr="003163B5" w:rsidRDefault="00116BAB" w:rsidP="00116BAB">
      <w:pPr>
        <w:rPr>
          <w:rFonts w:cs="Arial"/>
          <w:bCs/>
          <w:szCs w:val="24"/>
        </w:rPr>
      </w:pPr>
      <w:r w:rsidRPr="003163B5">
        <w:rPr>
          <w:rFonts w:cs="Arial"/>
          <w:bCs/>
          <w:szCs w:val="24"/>
        </w:rPr>
        <w:t>2203-</w:t>
      </w:r>
      <w:r w:rsidRPr="003163B5">
        <w:rPr>
          <w:rFonts w:cs="Arial"/>
          <w:bCs/>
          <w:szCs w:val="24"/>
        </w:rPr>
        <w:tab/>
      </w:r>
      <w:r w:rsidRPr="003163B5">
        <w:rPr>
          <w:rFonts w:cs="Arial"/>
          <w:bCs/>
          <w:szCs w:val="24"/>
        </w:rPr>
        <w:tab/>
        <w:t>Queensbury</w:t>
      </w:r>
    </w:p>
    <w:p w14:paraId="66278014" w14:textId="77777777" w:rsidR="00116BAB" w:rsidRPr="003163B5" w:rsidRDefault="00116BAB" w:rsidP="00116BAB">
      <w:pPr>
        <w:rPr>
          <w:rFonts w:cs="Arial"/>
          <w:bCs/>
          <w:szCs w:val="24"/>
        </w:rPr>
      </w:pPr>
      <w:r w:rsidRPr="003163B5">
        <w:rPr>
          <w:rFonts w:cs="Arial"/>
          <w:bCs/>
          <w:szCs w:val="24"/>
        </w:rPr>
        <w:t xml:space="preserve">2181- </w:t>
      </w:r>
      <w:r w:rsidRPr="003163B5">
        <w:rPr>
          <w:rFonts w:cs="Arial"/>
          <w:bCs/>
          <w:szCs w:val="24"/>
        </w:rPr>
        <w:tab/>
      </w:r>
      <w:r w:rsidRPr="003163B5">
        <w:rPr>
          <w:rFonts w:cs="Arial"/>
          <w:bCs/>
          <w:szCs w:val="24"/>
        </w:rPr>
        <w:tab/>
        <w:t>Marlborough</w:t>
      </w:r>
    </w:p>
    <w:p w14:paraId="1469688B" w14:textId="77777777" w:rsidR="00116BAB" w:rsidRPr="003163B5" w:rsidRDefault="00116BAB" w:rsidP="00116BAB">
      <w:pPr>
        <w:rPr>
          <w:rFonts w:cs="Arial"/>
          <w:bCs/>
          <w:szCs w:val="24"/>
        </w:rPr>
      </w:pPr>
      <w:r w:rsidRPr="003163B5">
        <w:rPr>
          <w:rFonts w:cs="Arial"/>
          <w:bCs/>
          <w:szCs w:val="24"/>
        </w:rPr>
        <w:t xml:space="preserve">2126- </w:t>
      </w:r>
      <w:r w:rsidRPr="003163B5">
        <w:rPr>
          <w:rFonts w:cs="Arial"/>
          <w:bCs/>
          <w:szCs w:val="24"/>
        </w:rPr>
        <w:tab/>
      </w:r>
      <w:r w:rsidRPr="003163B5">
        <w:rPr>
          <w:rFonts w:cs="Arial"/>
          <w:bCs/>
          <w:szCs w:val="24"/>
        </w:rPr>
        <w:tab/>
        <w:t>Rayners Lane</w:t>
      </w:r>
    </w:p>
    <w:p w14:paraId="6955593B" w14:textId="77777777" w:rsidR="00116BAB" w:rsidRPr="003163B5" w:rsidRDefault="00116BAB" w:rsidP="001976BF">
      <w:pPr>
        <w:spacing w:before="240"/>
        <w:rPr>
          <w:rFonts w:cs="Arial"/>
          <w:bCs/>
          <w:color w:val="000000" w:themeColor="text1"/>
          <w:szCs w:val="24"/>
        </w:rPr>
      </w:pPr>
    </w:p>
    <w:p w14:paraId="268A1787" w14:textId="5BAAE4F9" w:rsidR="00965538" w:rsidRPr="003163B5" w:rsidRDefault="00C230CC" w:rsidP="001976BF">
      <w:pPr>
        <w:spacing w:before="240"/>
        <w:rPr>
          <w:rFonts w:cs="Arial"/>
          <w:bCs/>
          <w:color w:val="000000" w:themeColor="text1"/>
          <w:szCs w:val="24"/>
        </w:rPr>
      </w:pPr>
      <w:r w:rsidRPr="003163B5">
        <w:rPr>
          <w:rFonts w:cs="Arial"/>
          <w:bCs/>
          <w:color w:val="000000" w:themeColor="text1"/>
          <w:szCs w:val="24"/>
        </w:rPr>
        <w:t>This provides Harrow partners with an opportunity to take focused action</w:t>
      </w:r>
      <w:r w:rsidR="00965538" w:rsidRPr="003163B5">
        <w:rPr>
          <w:rFonts w:cs="Arial"/>
          <w:bCs/>
          <w:color w:val="000000" w:themeColor="text1"/>
          <w:szCs w:val="24"/>
        </w:rPr>
        <w:t>.</w:t>
      </w:r>
    </w:p>
    <w:p w14:paraId="3A67673E" w14:textId="32E5638B" w:rsidR="00965538" w:rsidRPr="004957DC" w:rsidRDefault="00965538" w:rsidP="001976BF">
      <w:pPr>
        <w:spacing w:before="240"/>
        <w:rPr>
          <w:rFonts w:cs="Arial"/>
          <w:bCs/>
          <w:color w:val="000000" w:themeColor="text1"/>
          <w:sz w:val="28"/>
          <w:szCs w:val="28"/>
          <w:u w:val="single"/>
        </w:rPr>
      </w:pPr>
      <w:r w:rsidRPr="004957DC">
        <w:rPr>
          <w:rFonts w:cs="Arial"/>
          <w:bCs/>
          <w:color w:val="000000" w:themeColor="text1"/>
          <w:sz w:val="28"/>
          <w:szCs w:val="28"/>
          <w:u w:val="single"/>
        </w:rPr>
        <w:t xml:space="preserve">Considerations </w:t>
      </w:r>
    </w:p>
    <w:p w14:paraId="21929A7B" w14:textId="09161221" w:rsidR="00965538" w:rsidRPr="003163B5" w:rsidRDefault="00965538" w:rsidP="001976BF">
      <w:pPr>
        <w:spacing w:before="240"/>
        <w:rPr>
          <w:rFonts w:cs="Arial"/>
          <w:bCs/>
          <w:color w:val="000000" w:themeColor="text1"/>
          <w:szCs w:val="24"/>
        </w:rPr>
      </w:pPr>
      <w:r w:rsidRPr="003163B5">
        <w:rPr>
          <w:rFonts w:cs="Arial"/>
          <w:bCs/>
          <w:color w:val="000000" w:themeColor="text1"/>
          <w:szCs w:val="24"/>
        </w:rPr>
        <w:t>The Office for Health Inequalities and Disparities has identified how focusing on small communities where child mortality is high could enable progress to be made towards Local Partners’ goals to reduce child mortality.</w:t>
      </w:r>
    </w:p>
    <w:p w14:paraId="6A813B74" w14:textId="67A15F7C" w:rsidR="00965538" w:rsidRPr="003163B5" w:rsidRDefault="00965538" w:rsidP="001976BF">
      <w:pPr>
        <w:spacing w:before="240"/>
        <w:rPr>
          <w:rFonts w:cs="Arial"/>
          <w:bCs/>
          <w:color w:val="000000" w:themeColor="text1"/>
          <w:szCs w:val="24"/>
        </w:rPr>
      </w:pPr>
      <w:r w:rsidRPr="003163B5">
        <w:rPr>
          <w:rFonts w:cs="Arial"/>
          <w:bCs/>
          <w:color w:val="000000" w:themeColor="text1"/>
          <w:szCs w:val="24"/>
        </w:rPr>
        <w:t>Applying such a focus may require little additional resource, but long -term progress should be monitored.</w:t>
      </w:r>
    </w:p>
    <w:p w14:paraId="34A32063" w14:textId="3813ADCC" w:rsidR="00965538" w:rsidRPr="004957DC" w:rsidRDefault="00965538" w:rsidP="001976BF">
      <w:pPr>
        <w:spacing w:before="240"/>
        <w:rPr>
          <w:rFonts w:cs="Arial"/>
          <w:bCs/>
          <w:color w:val="000000" w:themeColor="text1"/>
          <w:sz w:val="28"/>
          <w:szCs w:val="28"/>
          <w:u w:val="single"/>
        </w:rPr>
      </w:pPr>
      <w:r w:rsidRPr="004957DC">
        <w:rPr>
          <w:rFonts w:cs="Arial"/>
          <w:bCs/>
          <w:color w:val="000000" w:themeColor="text1"/>
          <w:sz w:val="28"/>
          <w:szCs w:val="28"/>
          <w:u w:val="single"/>
        </w:rPr>
        <w:t>Equalities Impact</w:t>
      </w:r>
    </w:p>
    <w:p w14:paraId="35CFC1D1" w14:textId="0455E36B" w:rsidR="00965538" w:rsidRPr="003163B5" w:rsidRDefault="00965538" w:rsidP="006C17AB">
      <w:pPr>
        <w:spacing w:before="240"/>
        <w:rPr>
          <w:rFonts w:cs="Arial"/>
          <w:bCs/>
          <w:color w:val="0000FF"/>
          <w:szCs w:val="24"/>
        </w:rPr>
      </w:pPr>
      <w:r w:rsidRPr="003163B5">
        <w:rPr>
          <w:rFonts w:cs="Arial"/>
          <w:bCs/>
          <w:color w:val="000000" w:themeColor="text1"/>
          <w:szCs w:val="24"/>
        </w:rPr>
        <w:t>Black and Asian women have well documented poorer outcomes in relation to child birth than other ethnicities, however in NWL that is not the case. Nor is the link between deprivation and poor outcomes, also well documented elsewhere, so clear in NWL. The data at pa</w:t>
      </w:r>
      <w:r w:rsidR="006C17AB" w:rsidRPr="003163B5">
        <w:rPr>
          <w:rFonts w:cs="Arial"/>
          <w:bCs/>
          <w:color w:val="000000" w:themeColor="text1"/>
          <w:szCs w:val="24"/>
        </w:rPr>
        <w:t>g</w:t>
      </w:r>
      <w:r w:rsidRPr="003163B5">
        <w:rPr>
          <w:rFonts w:cs="Arial"/>
          <w:bCs/>
          <w:color w:val="000000" w:themeColor="text1"/>
          <w:szCs w:val="24"/>
        </w:rPr>
        <w:t>es 31 and 35 of the report represent a challenge and an opportunity to Harrow partners.</w:t>
      </w:r>
    </w:p>
    <w:p w14:paraId="63E4DD15" w14:textId="77777777" w:rsidR="001976BF" w:rsidRPr="00116BAB" w:rsidRDefault="001976BF" w:rsidP="001976BF">
      <w:pPr>
        <w:ind w:left="720"/>
        <w:rPr>
          <w:rFonts w:cs="Arial"/>
          <w:bCs/>
        </w:rPr>
      </w:pPr>
    </w:p>
    <w:p w14:paraId="6597A47D" w14:textId="77777777" w:rsidR="00056917" w:rsidRPr="00116BAB" w:rsidRDefault="00056917" w:rsidP="001976BF">
      <w:pPr>
        <w:rPr>
          <w:rFonts w:cs="Arial"/>
          <w:bCs/>
          <w:sz w:val="28"/>
        </w:rPr>
      </w:pPr>
    </w:p>
    <w:p w14:paraId="49B3282C" w14:textId="77777777" w:rsidR="00056917" w:rsidRPr="001976BF" w:rsidRDefault="00056917" w:rsidP="001976BF">
      <w:pPr>
        <w:rPr>
          <w:rFonts w:ascii="Arial Bold" w:hAnsi="Arial Bold"/>
          <w:b/>
          <w:sz w:val="28"/>
        </w:rPr>
      </w:pPr>
    </w:p>
    <w:p w14:paraId="2939A8B1" w14:textId="77777777" w:rsidR="00965538" w:rsidRDefault="002A2389" w:rsidP="00FF4BB9">
      <w:pPr>
        <w:pStyle w:val="Heading3"/>
      </w:pPr>
      <w:r>
        <w:lastRenderedPageBreak/>
        <w:t>Financial Implications</w:t>
      </w:r>
      <w:r w:rsidR="00BE1C78">
        <w:t>/Comments</w:t>
      </w:r>
    </w:p>
    <w:p w14:paraId="38D473E1" w14:textId="0F6CA495" w:rsidR="007B6C5F" w:rsidRDefault="007B6C5F" w:rsidP="007B6C5F">
      <w:r>
        <w:t>Taking action to understand the reasons for enhanced child mortality in the LSOAs highlighted in the report may have some financial implications.</w:t>
      </w:r>
    </w:p>
    <w:p w14:paraId="1BA58E67" w14:textId="77777777" w:rsidR="00CE2728" w:rsidRDefault="00CE2728" w:rsidP="007B6C5F"/>
    <w:p w14:paraId="03377001" w14:textId="3C9F9DA4" w:rsidR="00CE2728" w:rsidRPr="007B6C5F" w:rsidRDefault="00CE2728" w:rsidP="007B6C5F">
      <w:r>
        <w:t>The financial impact of any actions would need to be considered as part of the annual budget setting process for all and contained within the annual Public Health grant or partner organisation budgets as appropriate.</w:t>
      </w:r>
    </w:p>
    <w:p w14:paraId="116DB220" w14:textId="78E08915" w:rsidR="00745A14" w:rsidRDefault="001417FD" w:rsidP="000D7834">
      <w:pPr>
        <w:pStyle w:val="Heading3"/>
      </w:pPr>
      <w:r w:rsidRPr="001417FD">
        <w:t xml:space="preserve">Legal Implications/Comments </w:t>
      </w:r>
    </w:p>
    <w:p w14:paraId="4F190D46" w14:textId="77777777" w:rsidR="00745A14" w:rsidRDefault="00745A14" w:rsidP="00745A14">
      <w:pPr>
        <w:pStyle w:val="NormalWeb"/>
        <w:rPr>
          <w:rFonts w:ascii="Arial" w:hAnsi="Arial" w:cs="Arial"/>
          <w:color w:val="000000"/>
          <w:sz w:val="20"/>
          <w:szCs w:val="20"/>
        </w:rPr>
      </w:pPr>
      <w:r>
        <w:rPr>
          <w:rFonts w:ascii="Arial" w:hAnsi="Arial" w:cs="Arial"/>
          <w:color w:val="000000"/>
          <w:sz w:val="24"/>
          <w:szCs w:val="24"/>
        </w:rPr>
        <w:t>The Children Act 2004 imposes a statutory duty to carry out Child Death Reviews and the relevant Guidance is the Child Death Review Statutory and Operational Guidance (England) </w:t>
      </w:r>
    </w:p>
    <w:p w14:paraId="0F1F2135" w14:textId="77777777" w:rsidR="00745A14" w:rsidRDefault="00745A14" w:rsidP="00745A14">
      <w:pPr>
        <w:pStyle w:val="NormalWeb"/>
        <w:rPr>
          <w:rFonts w:ascii="Arial" w:hAnsi="Arial" w:cs="Arial"/>
          <w:color w:val="000000"/>
          <w:sz w:val="20"/>
          <w:szCs w:val="20"/>
        </w:rPr>
      </w:pPr>
      <w:r>
        <w:rPr>
          <w:rFonts w:ascii="Arial" w:hAnsi="Arial" w:cs="Arial"/>
          <w:color w:val="000000"/>
          <w:sz w:val="24"/>
          <w:szCs w:val="24"/>
        </w:rPr>
        <w:t>The terms of the Health and Wellbeing Board include</w:t>
      </w:r>
    </w:p>
    <w:p w14:paraId="6E526E29" w14:textId="05C4E6A3" w:rsidR="00745A14" w:rsidRDefault="00745A14" w:rsidP="007B6C5F">
      <w:r>
        <w:rPr>
          <w:rFonts w:cs="Arial"/>
          <w:color w:val="000000"/>
          <w:sz w:val="20"/>
        </w:rPr>
        <w:t>.</w:t>
      </w:r>
      <w:r>
        <w:rPr>
          <w:rFonts w:cs="Arial"/>
          <w:color w:val="000000"/>
          <w:szCs w:val="24"/>
        </w:rPr>
        <w:t xml:space="preserve"> To consider how to best use the totality of resources available for health and wellbeing, subject to the governance processes of the respective partner organisations as appropriate.</w:t>
      </w:r>
      <w:r>
        <w:rPr>
          <w:rFonts w:cs="Arial"/>
          <w:color w:val="000000"/>
          <w:szCs w:val="24"/>
        </w:rPr>
        <w:br/>
        <w:t>. To provide a forum for public accountability of NHS, public health, social care and other health and wellbeing services</w:t>
      </w:r>
      <w:r>
        <w:rPr>
          <w:rFonts w:cs="Arial"/>
          <w:color w:val="000000"/>
          <w:sz w:val="20"/>
        </w:rPr>
        <w:br/>
      </w:r>
    </w:p>
    <w:p w14:paraId="2CB0B747" w14:textId="77777777" w:rsidR="006C17AB" w:rsidRDefault="006C17AB" w:rsidP="007B6C5F"/>
    <w:p w14:paraId="1C4F71B4" w14:textId="6665E136" w:rsidR="006C17AB" w:rsidRDefault="006C17AB" w:rsidP="007B6C5F">
      <w:r>
        <w:t>(</w:t>
      </w:r>
      <w:hyperlink r:id="rId8" w:history="1">
        <w:r w:rsidRPr="003C5DCE">
          <w:rPr>
            <w:rStyle w:val="Hyperlink"/>
          </w:rPr>
          <w:t>https://www.harrow.gov.uk/downloads/file/31683/HAR_PH_HEALTH_AND_WELLBEING_STRATEGY_web_v2.pdf</w:t>
        </w:r>
      </w:hyperlink>
      <w:r>
        <w:t>)</w:t>
      </w:r>
    </w:p>
    <w:p w14:paraId="06B4496A" w14:textId="77777777" w:rsidR="006C17AB" w:rsidRPr="007B6C5F" w:rsidRDefault="006C17AB" w:rsidP="007B6C5F"/>
    <w:p w14:paraId="54D3C293" w14:textId="77777777" w:rsidR="00615340" w:rsidRPr="00615340" w:rsidRDefault="00615340" w:rsidP="00615340">
      <w:pPr>
        <w:jc w:val="both"/>
        <w:textAlignment w:val="baseline"/>
        <w:rPr>
          <w:rFonts w:ascii="Segoe UI" w:hAnsi="Segoe UI" w:cs="Segoe UI"/>
          <w:sz w:val="18"/>
          <w:szCs w:val="18"/>
          <w:lang w:eastAsia="en-GB"/>
        </w:rPr>
      </w:pPr>
      <w:r w:rsidRPr="00615340">
        <w:rPr>
          <w:rFonts w:ascii="Arial Black" w:hAnsi="Arial Black" w:cs="Segoe UI"/>
          <w:sz w:val="32"/>
          <w:szCs w:val="32"/>
          <w:lang w:eastAsia="en-GB"/>
        </w:rPr>
        <w:t>Risk Management Implications </w:t>
      </w:r>
    </w:p>
    <w:p w14:paraId="625723FA" w14:textId="68010A93"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val="en-US" w:eastAsia="en-GB"/>
        </w:rPr>
        <w:t>Risks included on corporate or directorate risk register? </w:t>
      </w:r>
      <w:r w:rsidR="006C17AB" w:rsidRPr="00615340">
        <w:rPr>
          <w:rFonts w:cs="Arial"/>
          <w:b/>
          <w:bCs/>
          <w:szCs w:val="24"/>
          <w:lang w:val="en-US" w:eastAsia="en-GB"/>
        </w:rPr>
        <w:t xml:space="preserve"> </w:t>
      </w:r>
      <w:r w:rsidRPr="00615340">
        <w:rPr>
          <w:rFonts w:cs="Arial"/>
          <w:b/>
          <w:bCs/>
          <w:szCs w:val="24"/>
          <w:lang w:val="en-US" w:eastAsia="en-GB"/>
        </w:rPr>
        <w:t>No</w:t>
      </w:r>
      <w:r w:rsidRPr="00615340">
        <w:rPr>
          <w:rFonts w:cs="Arial"/>
          <w:szCs w:val="24"/>
          <w:lang w:val="en-US" w:eastAsia="en-GB"/>
        </w:rPr>
        <w:t> </w:t>
      </w:r>
      <w:r w:rsidRPr="00615340">
        <w:rPr>
          <w:rFonts w:cs="Arial"/>
          <w:color w:val="0000FF"/>
          <w:szCs w:val="24"/>
          <w:lang w:val="en-US" w:eastAsia="en-GB"/>
        </w:rPr>
        <w:t xml:space="preserve"> </w:t>
      </w:r>
    </w:p>
    <w:p w14:paraId="440C160C" w14:textId="77777777" w:rsidR="00615340" w:rsidRPr="00615340" w:rsidRDefault="00615340" w:rsidP="00615340">
      <w:pPr>
        <w:ind w:left="-150" w:right="135"/>
        <w:textAlignment w:val="baseline"/>
        <w:rPr>
          <w:rFonts w:ascii="Segoe UI" w:hAnsi="Segoe UI" w:cs="Segoe UI"/>
          <w:sz w:val="18"/>
          <w:szCs w:val="18"/>
          <w:lang w:eastAsia="en-GB"/>
        </w:rPr>
      </w:pPr>
      <w:r w:rsidRPr="00615340">
        <w:rPr>
          <w:rFonts w:cs="Arial"/>
          <w:szCs w:val="24"/>
          <w:lang w:val="en-US" w:eastAsia="en-GB"/>
        </w:rPr>
        <w:t>  </w:t>
      </w:r>
      <w:r w:rsidRPr="00615340">
        <w:rPr>
          <w:rFonts w:cs="Arial"/>
          <w:szCs w:val="24"/>
          <w:lang w:eastAsia="en-GB"/>
        </w:rPr>
        <w:t> </w:t>
      </w:r>
    </w:p>
    <w:p w14:paraId="1EB6973D" w14:textId="4F38097F" w:rsidR="00615340" w:rsidRPr="00615340" w:rsidRDefault="00615340" w:rsidP="00615340">
      <w:pPr>
        <w:ind w:left="-150" w:right="135" w:firstLine="135"/>
        <w:textAlignment w:val="baseline"/>
        <w:rPr>
          <w:rFonts w:ascii="Segoe UI" w:hAnsi="Segoe UI" w:cs="Segoe UI"/>
          <w:sz w:val="18"/>
          <w:szCs w:val="18"/>
          <w:lang w:eastAsia="en-GB"/>
        </w:rPr>
      </w:pPr>
      <w:r w:rsidRPr="00615340">
        <w:rPr>
          <w:rFonts w:cs="Arial"/>
          <w:szCs w:val="24"/>
          <w:lang w:val="en-US" w:eastAsia="en-GB"/>
        </w:rPr>
        <w:t>Separate risk register in place? </w:t>
      </w:r>
      <w:r w:rsidR="006C17AB" w:rsidRPr="00615340">
        <w:rPr>
          <w:rFonts w:cs="Arial"/>
          <w:b/>
          <w:bCs/>
          <w:szCs w:val="24"/>
          <w:lang w:val="en-US" w:eastAsia="en-GB"/>
        </w:rPr>
        <w:t xml:space="preserve"> </w:t>
      </w:r>
      <w:r w:rsidRPr="00615340">
        <w:rPr>
          <w:rFonts w:cs="Arial"/>
          <w:b/>
          <w:bCs/>
          <w:szCs w:val="24"/>
          <w:lang w:val="en-US" w:eastAsia="en-GB"/>
        </w:rPr>
        <w:t>No</w:t>
      </w:r>
      <w:r w:rsidRPr="00615340">
        <w:rPr>
          <w:rFonts w:cs="Arial"/>
          <w:szCs w:val="24"/>
          <w:lang w:val="en-US" w:eastAsia="en-GB"/>
        </w:rPr>
        <w:t> </w:t>
      </w:r>
    </w:p>
    <w:p w14:paraId="5DD4C092"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45EC90D5" w14:textId="66C328CC"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eastAsia="en-GB"/>
        </w:rPr>
        <w:t>The relevant risks contained in the register are attached/summarised below. </w:t>
      </w:r>
      <w:r w:rsidR="006C17AB" w:rsidRPr="00615340">
        <w:rPr>
          <w:rFonts w:cs="Arial"/>
          <w:b/>
          <w:bCs/>
          <w:szCs w:val="24"/>
          <w:lang w:val="en-US" w:eastAsia="en-GB"/>
        </w:rPr>
        <w:t xml:space="preserve"> </w:t>
      </w:r>
      <w:r w:rsidRPr="00615340">
        <w:rPr>
          <w:rFonts w:cs="Arial"/>
          <w:b/>
          <w:bCs/>
          <w:szCs w:val="24"/>
          <w:lang w:val="en-US" w:eastAsia="en-GB"/>
        </w:rPr>
        <w:t>/n/a </w:t>
      </w:r>
    </w:p>
    <w:p w14:paraId="1F7D1585" w14:textId="77777777" w:rsidR="00615340" w:rsidRPr="00615340" w:rsidRDefault="00615340" w:rsidP="00615340">
      <w:pPr>
        <w:textAlignment w:val="baseline"/>
        <w:rPr>
          <w:rFonts w:ascii="Segoe UI" w:hAnsi="Segoe UI" w:cs="Segoe UI"/>
          <w:sz w:val="18"/>
          <w:szCs w:val="18"/>
          <w:lang w:eastAsia="en-GB"/>
        </w:rPr>
      </w:pPr>
      <w:r w:rsidRPr="00615340">
        <w:rPr>
          <w:rFonts w:cs="Arial"/>
          <w:szCs w:val="24"/>
          <w:lang w:eastAsia="en-GB"/>
        </w:rPr>
        <w:t> </w:t>
      </w:r>
    </w:p>
    <w:p w14:paraId="1CAF5680" w14:textId="77777777" w:rsidR="00615340" w:rsidRPr="00615340" w:rsidRDefault="00615340" w:rsidP="00615340">
      <w:pPr>
        <w:textAlignment w:val="baseline"/>
        <w:rPr>
          <w:rFonts w:ascii="Segoe UI" w:hAnsi="Segoe UI" w:cs="Segoe UI"/>
          <w:sz w:val="18"/>
          <w:szCs w:val="18"/>
          <w:lang w:eastAsia="en-GB"/>
        </w:rPr>
      </w:pPr>
      <w:r w:rsidRPr="00615340">
        <w:rPr>
          <w:rFonts w:cs="Arial"/>
          <w:szCs w:val="24"/>
          <w:lang w:eastAsia="en-GB"/>
        </w:rPr>
        <w:t>The following key risks should be taken into account when agreeing the recommendations in this report: </w:t>
      </w:r>
    </w:p>
    <w:p w14:paraId="0D963569" w14:textId="77777777" w:rsidR="00615340" w:rsidRPr="00615340" w:rsidRDefault="00615340" w:rsidP="00615340">
      <w:pPr>
        <w:ind w:left="555" w:right="135" w:hanging="555"/>
        <w:textAlignment w:val="baseline"/>
        <w:rPr>
          <w:rFonts w:ascii="Segoe UI" w:hAnsi="Segoe UI" w:cs="Segoe UI"/>
          <w:sz w:val="18"/>
          <w:szCs w:val="18"/>
          <w:lang w:eastAsia="en-GB"/>
        </w:rPr>
      </w:pPr>
      <w:r w:rsidRPr="00615340">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4"/>
        <w:gridCol w:w="3157"/>
        <w:gridCol w:w="2002"/>
      </w:tblGrid>
      <w:tr w:rsidR="00615340" w:rsidRPr="00615340" w14:paraId="72B29B54" w14:textId="77777777" w:rsidTr="00BF110C">
        <w:tc>
          <w:tcPr>
            <w:tcW w:w="3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BA681"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Risk Description</w:t>
            </w:r>
            <w:r w:rsidRPr="00615340">
              <w:rPr>
                <w:rFonts w:cs="Arial"/>
                <w:szCs w:val="24"/>
                <w:lang w:eastAsia="en-GB"/>
              </w:rPr>
              <w:t> </w:t>
            </w:r>
          </w:p>
        </w:tc>
        <w:tc>
          <w:tcPr>
            <w:tcW w:w="31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F86E4"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Mitigations</w:t>
            </w:r>
            <w:r w:rsidRPr="00615340">
              <w:rPr>
                <w:rFonts w:cs="Arial"/>
                <w:szCs w:val="24"/>
                <w:lang w:eastAsia="en-GB"/>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6C57A" w14:textId="77777777" w:rsidR="00615340" w:rsidRPr="00615340" w:rsidRDefault="00615340" w:rsidP="00615340">
            <w:pPr>
              <w:ind w:left="165" w:right="135"/>
              <w:textAlignment w:val="baseline"/>
              <w:rPr>
                <w:rFonts w:ascii="Times New Roman" w:hAnsi="Times New Roman"/>
                <w:szCs w:val="24"/>
                <w:lang w:eastAsia="en-GB"/>
              </w:rPr>
            </w:pPr>
            <w:r w:rsidRPr="00615340">
              <w:rPr>
                <w:rFonts w:cs="Arial"/>
                <w:b/>
                <w:bCs/>
                <w:szCs w:val="24"/>
                <w:lang w:val="en-US" w:eastAsia="en-GB"/>
              </w:rPr>
              <w:t>RAG Status</w:t>
            </w:r>
            <w:r w:rsidRPr="00615340">
              <w:rPr>
                <w:rFonts w:cs="Arial"/>
                <w:szCs w:val="24"/>
                <w:lang w:eastAsia="en-GB"/>
              </w:rPr>
              <w:t> </w:t>
            </w:r>
          </w:p>
        </w:tc>
      </w:tr>
      <w:tr w:rsidR="00615340" w:rsidRPr="00615340" w14:paraId="547395A6" w14:textId="77777777" w:rsidTr="00BF110C">
        <w:tc>
          <w:tcPr>
            <w:tcW w:w="3134" w:type="dxa"/>
            <w:tcBorders>
              <w:top w:val="single" w:sz="6" w:space="0" w:color="000000"/>
              <w:left w:val="single" w:sz="6" w:space="0" w:color="000000"/>
              <w:bottom w:val="single" w:sz="6" w:space="0" w:color="000000"/>
              <w:right w:val="single" w:sz="6" w:space="0" w:color="000000"/>
            </w:tcBorders>
            <w:shd w:val="clear" w:color="auto" w:fill="auto"/>
            <w:hideMark/>
          </w:tcPr>
          <w:p w14:paraId="48FDE6B1" w14:textId="445B5A92" w:rsidR="00615340" w:rsidRPr="00615340" w:rsidRDefault="006C17AB" w:rsidP="00615340">
            <w:pPr>
              <w:ind w:right="135"/>
              <w:textAlignment w:val="baseline"/>
              <w:rPr>
                <w:rFonts w:ascii="Times New Roman" w:hAnsi="Times New Roman"/>
                <w:szCs w:val="24"/>
                <w:lang w:eastAsia="en-GB"/>
              </w:rPr>
            </w:pPr>
            <w:r>
              <w:rPr>
                <w:rFonts w:cs="Arial"/>
                <w:szCs w:val="24"/>
                <w:lang w:eastAsia="en-GB"/>
              </w:rPr>
              <w:t>Insufficient resource or analysis to impact child mortality in identified LSOAs</w:t>
            </w:r>
          </w:p>
        </w:tc>
        <w:tc>
          <w:tcPr>
            <w:tcW w:w="3157" w:type="dxa"/>
            <w:tcBorders>
              <w:top w:val="single" w:sz="6" w:space="0" w:color="000000"/>
              <w:left w:val="single" w:sz="6" w:space="0" w:color="000000"/>
              <w:bottom w:val="single" w:sz="6" w:space="0" w:color="000000"/>
              <w:right w:val="single" w:sz="6" w:space="0" w:color="000000"/>
            </w:tcBorders>
            <w:shd w:val="clear" w:color="auto" w:fill="auto"/>
            <w:hideMark/>
          </w:tcPr>
          <w:p w14:paraId="4F87F3D5" w14:textId="7649C35F" w:rsidR="00615340" w:rsidRPr="00615340" w:rsidRDefault="006C17AB" w:rsidP="006C17AB">
            <w:pPr>
              <w:textAlignment w:val="baseline"/>
              <w:rPr>
                <w:rFonts w:cs="Arial"/>
                <w:szCs w:val="24"/>
                <w:lang w:eastAsia="en-GB"/>
              </w:rPr>
            </w:pPr>
            <w:r>
              <w:rPr>
                <w:rFonts w:cs="Arial"/>
                <w:szCs w:val="24"/>
                <w:lang w:eastAsia="en-GB"/>
              </w:rPr>
              <w:t xml:space="preserve">Working with partners we will be able to </w:t>
            </w:r>
            <w:r w:rsidR="00615340" w:rsidRPr="00615340">
              <w:rPr>
                <w:rFonts w:cs="Arial"/>
                <w:szCs w:val="24"/>
                <w:lang w:eastAsia="en-GB"/>
              </w:rPr>
              <w:t> </w:t>
            </w:r>
            <w:r>
              <w:rPr>
                <w:rFonts w:cs="Arial"/>
                <w:szCs w:val="24"/>
                <w:lang w:eastAsia="en-GB"/>
              </w:rPr>
              <w:t>take appropriate action without requiring more resource</w:t>
            </w:r>
          </w:p>
          <w:p w14:paraId="2DA222EC" w14:textId="77777777" w:rsidR="00615340" w:rsidRPr="00615340" w:rsidRDefault="00615340" w:rsidP="00615340">
            <w:pPr>
              <w:numPr>
                <w:ilvl w:val="0"/>
                <w:numId w:val="15"/>
              </w:numPr>
              <w:ind w:left="0" w:firstLine="0"/>
              <w:textAlignment w:val="baseline"/>
              <w:rPr>
                <w:rFonts w:cs="Arial"/>
                <w:szCs w:val="24"/>
                <w:lang w:eastAsia="en-GB"/>
              </w:rPr>
            </w:pPr>
            <w:r w:rsidRPr="00615340">
              <w:rPr>
                <w:rFonts w:cs="Arial"/>
                <w:szCs w:val="24"/>
                <w:lang w:eastAsia="en-GB"/>
              </w:rPr>
              <w:t> </w:t>
            </w:r>
          </w:p>
          <w:p w14:paraId="40228AD5" w14:textId="77777777" w:rsidR="00615340" w:rsidRPr="00615340" w:rsidRDefault="00615340" w:rsidP="00615340">
            <w:pPr>
              <w:numPr>
                <w:ilvl w:val="0"/>
                <w:numId w:val="15"/>
              </w:numPr>
              <w:ind w:left="0" w:firstLine="0"/>
              <w:textAlignment w:val="baseline"/>
              <w:rPr>
                <w:rFonts w:cs="Arial"/>
                <w:szCs w:val="24"/>
                <w:lang w:eastAsia="en-GB"/>
              </w:rPr>
            </w:pPr>
            <w:r w:rsidRPr="00615340">
              <w:rPr>
                <w:rFonts w:cs="Arial"/>
                <w:szCs w:val="24"/>
                <w:lang w:eastAsia="en-GB"/>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6D5E2621" w14:textId="77777777" w:rsidR="00615340" w:rsidRPr="00615340" w:rsidRDefault="00615340" w:rsidP="00615340">
            <w:pPr>
              <w:ind w:left="165" w:right="135"/>
              <w:textAlignment w:val="baseline"/>
              <w:rPr>
                <w:rFonts w:ascii="Times New Roman" w:hAnsi="Times New Roman"/>
                <w:szCs w:val="24"/>
                <w:lang w:eastAsia="en-GB"/>
              </w:rPr>
            </w:pPr>
            <w:r w:rsidRPr="00615340">
              <w:rPr>
                <w:rFonts w:cs="Arial"/>
                <w:szCs w:val="24"/>
                <w:lang w:val="en-US" w:eastAsia="en-GB"/>
              </w:rPr>
              <w:t>Amber</w:t>
            </w:r>
            <w:r w:rsidRPr="00615340">
              <w:rPr>
                <w:rFonts w:cs="Arial"/>
                <w:szCs w:val="24"/>
                <w:lang w:eastAsia="en-GB"/>
              </w:rPr>
              <w:t> </w:t>
            </w:r>
          </w:p>
          <w:p w14:paraId="4FE9B939" w14:textId="06D900E9" w:rsidR="00615340" w:rsidRPr="00615340" w:rsidRDefault="00615340" w:rsidP="00615340">
            <w:pPr>
              <w:ind w:left="165" w:right="135"/>
              <w:textAlignment w:val="baseline"/>
              <w:rPr>
                <w:rFonts w:ascii="Times New Roman" w:hAnsi="Times New Roman"/>
                <w:szCs w:val="24"/>
                <w:lang w:eastAsia="en-GB"/>
              </w:rPr>
            </w:pPr>
          </w:p>
        </w:tc>
      </w:tr>
    </w:tbl>
    <w:p w14:paraId="78EC3061" w14:textId="77777777" w:rsidR="00FD31A0" w:rsidRPr="00A50388" w:rsidRDefault="00A50388" w:rsidP="00FF4BB9">
      <w:pPr>
        <w:pStyle w:val="Heading3"/>
        <w:rPr>
          <w:color w:val="FF0000"/>
        </w:rPr>
      </w:pPr>
      <w:r w:rsidRPr="004A2543">
        <w:t>Equalities implications</w:t>
      </w:r>
      <w:r>
        <w:t xml:space="preserve"> </w:t>
      </w:r>
      <w:r w:rsidRPr="00333FAA">
        <w:t>/</w:t>
      </w:r>
      <w:r>
        <w:t xml:space="preserve"> </w:t>
      </w:r>
      <w:r w:rsidRPr="00333FAA">
        <w:t>Public Sector Equality Duty</w:t>
      </w:r>
    </w:p>
    <w:p w14:paraId="3B7DA33D" w14:textId="62D2D70E" w:rsidR="00FD31A0" w:rsidRPr="004A2543" w:rsidRDefault="00FD31A0" w:rsidP="006C17AB">
      <w:r w:rsidRPr="004A2543">
        <w:t xml:space="preserve">Was an Equality Impact Assessment carried out?  </w:t>
      </w:r>
      <w:r>
        <w:t xml:space="preserve">No </w:t>
      </w:r>
    </w:p>
    <w:p w14:paraId="5DEC3932" w14:textId="77777777" w:rsidR="00FD31A0" w:rsidRPr="004A2543" w:rsidRDefault="00FD31A0" w:rsidP="00FD31A0"/>
    <w:p w14:paraId="4A5B0B6E" w14:textId="1FD11EC9" w:rsidR="00FD31A0" w:rsidRPr="004A2543" w:rsidRDefault="00FD31A0" w:rsidP="00FD31A0">
      <w:r w:rsidRPr="004A2543">
        <w:t xml:space="preserve">If </w:t>
      </w:r>
      <w:r w:rsidR="006C17AB">
        <w:t>No. At this stage no change of policy or delivery or service is suggested. However, should action be taken to understand and address child mortality in the identified LSOAs then an EIA will be required.</w:t>
      </w:r>
    </w:p>
    <w:p w14:paraId="21D253C1" w14:textId="77777777" w:rsidR="00900464" w:rsidRDefault="00900464" w:rsidP="00C32DAE">
      <w:pPr>
        <w:ind w:right="141"/>
        <w:rPr>
          <w:rFonts w:cs="Arial"/>
          <w:szCs w:val="24"/>
          <w:lang w:val="en-US"/>
        </w:rPr>
      </w:pPr>
    </w:p>
    <w:p w14:paraId="42D41EC1" w14:textId="54FA13A3" w:rsidR="00615340" w:rsidRPr="00615340" w:rsidRDefault="00615340" w:rsidP="00615340">
      <w:pPr>
        <w:textAlignment w:val="baseline"/>
        <w:rPr>
          <w:rFonts w:ascii="Segoe UI" w:hAnsi="Segoe UI" w:cs="Segoe UI"/>
          <w:sz w:val="18"/>
          <w:szCs w:val="18"/>
          <w:lang w:eastAsia="en-GB"/>
        </w:rPr>
      </w:pPr>
      <w:r w:rsidRPr="00615340">
        <w:rPr>
          <w:rFonts w:cs="Arial"/>
          <w:color w:val="0000FF"/>
          <w:szCs w:val="24"/>
          <w:lang w:eastAsia="en-GB"/>
        </w:rPr>
        <w:t>   </w:t>
      </w:r>
    </w:p>
    <w:p w14:paraId="3F7937B0" w14:textId="47332DE9" w:rsidR="0026258C" w:rsidRPr="002260CB" w:rsidRDefault="0026258C" w:rsidP="002260CB">
      <w:pPr>
        <w:pStyle w:val="Heading4"/>
      </w:pPr>
      <w:r>
        <w:t xml:space="preserve">Council </w:t>
      </w:r>
      <w:r w:rsidRPr="009117F2">
        <w:t>Priorities</w:t>
      </w:r>
    </w:p>
    <w:p w14:paraId="2911B7AC" w14:textId="3DAC8D25" w:rsidR="0026258C" w:rsidRPr="00752110" w:rsidRDefault="0026258C" w:rsidP="00EC6F6E">
      <w:pPr>
        <w:pStyle w:val="StyleListParagraphBold"/>
        <w:numPr>
          <w:ilvl w:val="0"/>
          <w:numId w:val="17"/>
        </w:numPr>
        <w:rPr>
          <w:lang w:eastAsia="en-US"/>
        </w:rPr>
      </w:pPr>
      <w:r w:rsidRPr="00752110">
        <w:t>A council that puts residents first</w:t>
      </w:r>
    </w:p>
    <w:p w14:paraId="0CC0350A" w14:textId="77777777" w:rsidR="0026258C" w:rsidRPr="00752110" w:rsidRDefault="0026258C" w:rsidP="0026258C">
      <w:pPr>
        <w:pStyle w:val="StyleListParagraphBold"/>
        <w:ind w:left="0"/>
      </w:pPr>
    </w:p>
    <w:p w14:paraId="44BF76A8" w14:textId="77777777" w:rsidR="0026258C" w:rsidRPr="00752110" w:rsidRDefault="0026258C" w:rsidP="0026258C">
      <w:pPr>
        <w:pStyle w:val="StyleListParagraphBold"/>
        <w:numPr>
          <w:ilvl w:val="0"/>
          <w:numId w:val="17"/>
        </w:numPr>
      </w:pPr>
      <w:r w:rsidRPr="00752110">
        <w:t>A place where those in need are supported</w:t>
      </w:r>
    </w:p>
    <w:p w14:paraId="2BB5CB9A" w14:textId="77777777" w:rsidR="002A2389" w:rsidRPr="00FF4BB9" w:rsidRDefault="002A2389" w:rsidP="00FF4BB9">
      <w:pPr>
        <w:pStyle w:val="Heading2"/>
      </w:pPr>
      <w:r w:rsidRPr="00FF4BB9">
        <w:t>Section 3 - Statutory Officer Clearance</w:t>
      </w:r>
      <w:r w:rsidR="00BE1C78" w:rsidRPr="00FF4BB9">
        <w:t xml:space="preserve"> </w:t>
      </w:r>
      <w:r w:rsidR="001417FD" w:rsidRPr="00FF4BB9">
        <w:t>(Council and Joint Reports)</w:t>
      </w:r>
    </w:p>
    <w:p w14:paraId="45F3BB61" w14:textId="77777777" w:rsidR="002A2389" w:rsidRDefault="002A2389" w:rsidP="008D1750">
      <w:pPr>
        <w:keepNext/>
        <w:rPr>
          <w:rFonts w:cs="Arial"/>
        </w:rPr>
      </w:pPr>
    </w:p>
    <w:p w14:paraId="3268493D" w14:textId="4FADBBAA" w:rsidR="00FF4BB9" w:rsidRPr="00A66326" w:rsidRDefault="00FF4BB9" w:rsidP="00FF4BB9">
      <w:pPr>
        <w:rPr>
          <w:sz w:val="28"/>
        </w:rPr>
      </w:pPr>
      <w:r w:rsidRPr="00A66326">
        <w:rPr>
          <w:b/>
          <w:sz w:val="28"/>
        </w:rPr>
        <w:t xml:space="preserve">Statutory Officer:  </w:t>
      </w:r>
      <w:r w:rsidR="00EA565B">
        <w:rPr>
          <w:b/>
          <w:sz w:val="28"/>
        </w:rPr>
        <w:t>Donna Edwards</w:t>
      </w:r>
    </w:p>
    <w:p w14:paraId="63A57E10" w14:textId="5A314009" w:rsidR="00FF4BB9" w:rsidRPr="00EA565B" w:rsidRDefault="00FF4BB9" w:rsidP="00FF4BB9">
      <w:r w:rsidRPr="00A66326">
        <w:t>Signed on behalf of the Chief Financial Officer</w:t>
      </w:r>
    </w:p>
    <w:p w14:paraId="5EE2177C" w14:textId="6CB737E2" w:rsidR="00FF4BB9" w:rsidRPr="00A66326" w:rsidRDefault="00FF4BB9" w:rsidP="00FF4BB9">
      <w:pPr>
        <w:spacing w:after="480"/>
        <w:rPr>
          <w:sz w:val="28"/>
        </w:rPr>
      </w:pPr>
      <w:r w:rsidRPr="00A66326">
        <w:rPr>
          <w:b/>
          <w:sz w:val="28"/>
        </w:rPr>
        <w:t xml:space="preserve">Date:  </w:t>
      </w:r>
      <w:r w:rsidR="00EA565B">
        <w:rPr>
          <w:b/>
          <w:sz w:val="28"/>
        </w:rPr>
        <w:t>11/01/2024</w:t>
      </w:r>
    </w:p>
    <w:p w14:paraId="22ABCA90" w14:textId="5B6DB48B" w:rsidR="00FF4BB9" w:rsidRPr="00A66326" w:rsidRDefault="00FF4BB9" w:rsidP="00FF4BB9">
      <w:pPr>
        <w:rPr>
          <w:sz w:val="28"/>
        </w:rPr>
      </w:pPr>
      <w:r w:rsidRPr="00A66326">
        <w:rPr>
          <w:b/>
          <w:sz w:val="28"/>
        </w:rPr>
        <w:t xml:space="preserve">Statutory Officer:  </w:t>
      </w:r>
      <w:r w:rsidR="009D25D2">
        <w:rPr>
          <w:b/>
          <w:sz w:val="28"/>
        </w:rPr>
        <w:t xml:space="preserve">Sharon Clarke </w:t>
      </w:r>
    </w:p>
    <w:p w14:paraId="610956DB" w14:textId="4AFB2C88" w:rsidR="00FF4BB9" w:rsidRPr="00EA565B" w:rsidRDefault="00FF4BB9" w:rsidP="00FF4BB9">
      <w:r w:rsidRPr="00A66326">
        <w:t>Signed on behalf of</w:t>
      </w:r>
      <w:r w:rsidR="002260CB">
        <w:t xml:space="preserve"> </w:t>
      </w:r>
      <w:r w:rsidRPr="00A66326">
        <w:t>the Monitoring Officer</w:t>
      </w:r>
    </w:p>
    <w:p w14:paraId="3E560858" w14:textId="3A657E6D" w:rsidR="00FF4BB9" w:rsidRPr="003313EA" w:rsidRDefault="00FF4BB9" w:rsidP="00FF4BB9">
      <w:pPr>
        <w:spacing w:after="480"/>
        <w:rPr>
          <w:sz w:val="28"/>
        </w:rPr>
      </w:pPr>
      <w:r w:rsidRPr="00A66326">
        <w:rPr>
          <w:b/>
          <w:sz w:val="28"/>
        </w:rPr>
        <w:t xml:space="preserve">Date:  </w:t>
      </w:r>
      <w:r w:rsidR="00745A14">
        <w:rPr>
          <w:b/>
          <w:sz w:val="28"/>
        </w:rPr>
        <w:t>11/01/2024</w:t>
      </w:r>
    </w:p>
    <w:p w14:paraId="058AEA52" w14:textId="3DB87F3B" w:rsidR="00FF4BB9" w:rsidRPr="00A66326" w:rsidRDefault="001E7655" w:rsidP="00FF4BB9">
      <w:pPr>
        <w:rPr>
          <w:sz w:val="28"/>
        </w:rPr>
      </w:pPr>
      <w:r>
        <w:rPr>
          <w:b/>
          <w:sz w:val="28"/>
        </w:rPr>
        <w:t>Chief</w:t>
      </w:r>
      <w:r w:rsidR="00FF4BB9" w:rsidRPr="00A66326">
        <w:rPr>
          <w:b/>
          <w:sz w:val="28"/>
        </w:rPr>
        <w:t xml:space="preserve"> Officer:  </w:t>
      </w:r>
      <w:r w:rsidR="00BF110C">
        <w:rPr>
          <w:b/>
          <w:sz w:val="28"/>
        </w:rPr>
        <w:t>Carole Furlong on behalf of Corporate Director</w:t>
      </w:r>
    </w:p>
    <w:p w14:paraId="2561DE56" w14:textId="1F44B5CB" w:rsidR="00FF4BB9" w:rsidRPr="00EA565B" w:rsidRDefault="002C1D70" w:rsidP="00FF4BB9">
      <w:r>
        <w:t xml:space="preserve">Signed </w:t>
      </w:r>
      <w:r w:rsidR="005C279C">
        <w:t xml:space="preserve">on behalf of the Corporate Director </w:t>
      </w:r>
      <w:r w:rsidR="00FF4BB9" w:rsidRPr="00A66326">
        <w:t>by the</w:t>
      </w:r>
      <w:r w:rsidR="00CB3DF8">
        <w:t xml:space="preserve"> Director of Public Health</w:t>
      </w:r>
      <w:r w:rsidR="005C279C">
        <w:t xml:space="preserve"> </w:t>
      </w:r>
    </w:p>
    <w:p w14:paraId="369B585E" w14:textId="719EBD51" w:rsidR="00FF4BB9" w:rsidRPr="00A66326" w:rsidRDefault="00FF4BB9" w:rsidP="00FF4BB9">
      <w:pPr>
        <w:spacing w:after="480"/>
        <w:rPr>
          <w:sz w:val="28"/>
        </w:rPr>
      </w:pPr>
      <w:r w:rsidRPr="00A66326">
        <w:rPr>
          <w:b/>
          <w:sz w:val="28"/>
        </w:rPr>
        <w:t xml:space="preserve">Date:  </w:t>
      </w:r>
      <w:r w:rsidR="00BF110C">
        <w:rPr>
          <w:b/>
          <w:sz w:val="28"/>
        </w:rPr>
        <w:t>10/01/2024</w:t>
      </w:r>
    </w:p>
    <w:p w14:paraId="0099E0CC" w14:textId="77777777" w:rsidR="00FF4BB9" w:rsidRPr="00435B5D" w:rsidRDefault="00FF4BB9" w:rsidP="00FF4BB9">
      <w:pPr>
        <w:pStyle w:val="Heading3"/>
      </w:pPr>
      <w:r>
        <w:t>Mandatory Checks</w:t>
      </w:r>
    </w:p>
    <w:p w14:paraId="1B4CC605" w14:textId="2EF1707A" w:rsidR="00FF4BB9" w:rsidRPr="001E0383" w:rsidRDefault="00FF4BB9" w:rsidP="00A978B3">
      <w:pPr>
        <w:pStyle w:val="Heading4"/>
        <w:rPr>
          <w:color w:val="FF0000"/>
        </w:rPr>
      </w:pPr>
      <w:r w:rsidRPr="00FF4BB9">
        <w:t xml:space="preserve">Ward Councillors notified:  </w:t>
      </w:r>
      <w:r w:rsidRPr="00D16C17">
        <w:rPr>
          <w:color w:val="000000" w:themeColor="text1"/>
        </w:rPr>
        <w:t>N</w:t>
      </w:r>
      <w:r w:rsidR="002622B9">
        <w:rPr>
          <w:color w:val="000000" w:themeColor="text1"/>
        </w:rPr>
        <w:t>o</w:t>
      </w:r>
      <w:r w:rsidRPr="00D16C17">
        <w:rPr>
          <w:color w:val="000000" w:themeColor="text1"/>
        </w:rPr>
        <w:t xml:space="preserve">, as it impacts on all Wards </w:t>
      </w:r>
    </w:p>
    <w:p w14:paraId="6B556393" w14:textId="77777777" w:rsidR="00FF4BB9" w:rsidRDefault="00FF4BB9" w:rsidP="00FF4BB9">
      <w:pPr>
        <w:pStyle w:val="Heading2"/>
        <w:keepNext/>
      </w:pPr>
      <w:r>
        <w:t>Section 4 - Contact Details and Background Papers</w:t>
      </w:r>
    </w:p>
    <w:p w14:paraId="45D9F7F9" w14:textId="6CFF19A1" w:rsidR="00FF4BB9" w:rsidRPr="00E609C4" w:rsidRDefault="00FF4BB9" w:rsidP="00E609C4">
      <w:pPr>
        <w:spacing w:before="100" w:beforeAutospacing="1" w:after="100" w:afterAutospacing="1"/>
        <w:rPr>
          <w:rFonts w:ascii="Calibri" w:hAnsi="Calibri"/>
          <w:sz w:val="22"/>
          <w:lang w:eastAsia="en-GB"/>
        </w:rPr>
      </w:pPr>
      <w:r w:rsidRPr="00D914D2">
        <w:rPr>
          <w:b/>
        </w:rPr>
        <w:t>Contact:</w:t>
      </w:r>
      <w:r>
        <w:t xml:space="preserve"> </w:t>
      </w:r>
      <w:r w:rsidR="00F0432C">
        <w:t>Tanya Nanauwan, N</w:t>
      </w:r>
      <w:r w:rsidR="00C96980">
        <w:t>orth West London</w:t>
      </w:r>
      <w:r w:rsidR="00F0432C">
        <w:t xml:space="preserve"> C</w:t>
      </w:r>
      <w:r w:rsidR="00672A62">
        <w:t xml:space="preserve">hild </w:t>
      </w:r>
      <w:r w:rsidR="00F0432C">
        <w:t>D</w:t>
      </w:r>
      <w:r w:rsidR="00672A62">
        <w:t xml:space="preserve">eath </w:t>
      </w:r>
      <w:r w:rsidR="00F0432C">
        <w:t>R</w:t>
      </w:r>
      <w:r w:rsidR="00672A62">
        <w:t>eview</w:t>
      </w:r>
      <w:r w:rsidR="00F0432C">
        <w:t xml:space="preserve"> Team Manager</w:t>
      </w:r>
      <w:r w:rsidR="00F0432C">
        <w:rPr>
          <w:rFonts w:ascii="Calibri" w:hAnsi="Calibri"/>
          <w:sz w:val="22"/>
          <w:lang w:eastAsia="en-GB"/>
        </w:rPr>
        <w:t xml:space="preserve">, </w:t>
      </w:r>
      <w:hyperlink r:id="rId9" w:tgtFrame="_blank" w:history="1">
        <w:r w:rsidR="00E609C4">
          <w:rPr>
            <w:rStyle w:val="Hyperlink"/>
          </w:rPr>
          <w:t>t.nanuwan@nhs.net</w:t>
        </w:r>
      </w:hyperlink>
      <w:r w:rsidR="00E609C4">
        <w:t xml:space="preserve">  </w:t>
      </w:r>
    </w:p>
    <w:p w14:paraId="7C47980D" w14:textId="77777777" w:rsidR="00FF4BB9" w:rsidRDefault="00FF4BB9" w:rsidP="00FF4BB9">
      <w:pPr>
        <w:pStyle w:val="Infotext"/>
        <w:spacing w:before="360" w:after="240"/>
      </w:pPr>
      <w:r>
        <w:t xml:space="preserve">If appropriate, does the report include the following considerations? </w:t>
      </w:r>
    </w:p>
    <w:p w14:paraId="61A13184" w14:textId="77777777" w:rsidR="00FF4BB9" w:rsidRDefault="00FF4BB9" w:rsidP="00FF4BB9">
      <w:pPr>
        <w:pStyle w:val="Infotext"/>
        <w:tabs>
          <w:tab w:val="left" w:pos="656"/>
          <w:tab w:val="left" w:pos="6399"/>
        </w:tabs>
      </w:pPr>
      <w:r>
        <w:t>1.</w:t>
      </w:r>
      <w:r>
        <w:tab/>
        <w:t xml:space="preserve">Consultation </w:t>
      </w:r>
      <w:r>
        <w:tab/>
        <w:t>YES / NO</w:t>
      </w:r>
    </w:p>
    <w:p w14:paraId="0A1A8035" w14:textId="23334B75" w:rsidR="002A2389" w:rsidRDefault="00FF4BB9" w:rsidP="00615340">
      <w:pPr>
        <w:pStyle w:val="Infotext"/>
        <w:tabs>
          <w:tab w:val="left" w:pos="656"/>
          <w:tab w:val="left" w:pos="6399"/>
        </w:tabs>
      </w:pPr>
      <w:r>
        <w:t>2.</w:t>
      </w:r>
      <w:r>
        <w:tab/>
        <w:t>Priorities</w:t>
      </w:r>
      <w:r>
        <w:tab/>
        <w:t xml:space="preserve">YES / NO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854D" w14:textId="77777777" w:rsidR="00755209" w:rsidRDefault="00755209">
      <w:r>
        <w:separator/>
      </w:r>
    </w:p>
  </w:endnote>
  <w:endnote w:type="continuationSeparator" w:id="0">
    <w:p w14:paraId="10C9DEA7" w14:textId="77777777" w:rsidR="00755209" w:rsidRDefault="0075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017C" w14:textId="77777777" w:rsidR="00755209" w:rsidRDefault="00755209">
      <w:r>
        <w:separator/>
      </w:r>
    </w:p>
  </w:footnote>
  <w:footnote w:type="continuationSeparator" w:id="0">
    <w:p w14:paraId="03999B59" w14:textId="77777777" w:rsidR="00755209" w:rsidRDefault="0075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9625">
    <w:abstractNumId w:val="14"/>
  </w:num>
  <w:num w:numId="2" w16cid:durableId="1569226707">
    <w:abstractNumId w:val="10"/>
  </w:num>
  <w:num w:numId="3" w16cid:durableId="813790519">
    <w:abstractNumId w:val="13"/>
  </w:num>
  <w:num w:numId="4" w16cid:durableId="379669333">
    <w:abstractNumId w:val="1"/>
  </w:num>
  <w:num w:numId="5"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335836">
    <w:abstractNumId w:val="6"/>
  </w:num>
  <w:num w:numId="7" w16cid:durableId="164978740">
    <w:abstractNumId w:val="7"/>
  </w:num>
  <w:num w:numId="8" w16cid:durableId="1299336545">
    <w:abstractNumId w:val="3"/>
  </w:num>
  <w:num w:numId="9" w16cid:durableId="1565219860">
    <w:abstractNumId w:val="12"/>
  </w:num>
  <w:num w:numId="10" w16cid:durableId="409237689">
    <w:abstractNumId w:val="16"/>
  </w:num>
  <w:num w:numId="11" w16cid:durableId="892698259">
    <w:abstractNumId w:val="11"/>
  </w:num>
  <w:num w:numId="12" w16cid:durableId="412046328">
    <w:abstractNumId w:val="2"/>
  </w:num>
  <w:num w:numId="13" w16cid:durableId="1783839185">
    <w:abstractNumId w:val="5"/>
  </w:num>
  <w:num w:numId="14" w16cid:durableId="1911234421">
    <w:abstractNumId w:val="9"/>
  </w:num>
  <w:num w:numId="15" w16cid:durableId="1311404609">
    <w:abstractNumId w:val="4"/>
  </w:num>
  <w:num w:numId="16" w16cid:durableId="213930310">
    <w:abstractNumId w:val="15"/>
  </w:num>
  <w:num w:numId="17" w16cid:durableId="1338776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6917"/>
    <w:rsid w:val="00057F10"/>
    <w:rsid w:val="00066C35"/>
    <w:rsid w:val="00071EB4"/>
    <w:rsid w:val="00077298"/>
    <w:rsid w:val="00080819"/>
    <w:rsid w:val="000869A5"/>
    <w:rsid w:val="000937AC"/>
    <w:rsid w:val="000B6DBB"/>
    <w:rsid w:val="000D2BF2"/>
    <w:rsid w:val="000D7834"/>
    <w:rsid w:val="000F225B"/>
    <w:rsid w:val="000F65C0"/>
    <w:rsid w:val="00102876"/>
    <w:rsid w:val="00116BAB"/>
    <w:rsid w:val="00122491"/>
    <w:rsid w:val="001417FD"/>
    <w:rsid w:val="001427B7"/>
    <w:rsid w:val="00154DD6"/>
    <w:rsid w:val="001939BA"/>
    <w:rsid w:val="001976BF"/>
    <w:rsid w:val="001C5225"/>
    <w:rsid w:val="001E0219"/>
    <w:rsid w:val="001E0383"/>
    <w:rsid w:val="001E7655"/>
    <w:rsid w:val="001F341E"/>
    <w:rsid w:val="002260CB"/>
    <w:rsid w:val="00231A1D"/>
    <w:rsid w:val="002622B9"/>
    <w:rsid w:val="0026258C"/>
    <w:rsid w:val="00296F20"/>
    <w:rsid w:val="002A2389"/>
    <w:rsid w:val="002A6109"/>
    <w:rsid w:val="002C08E2"/>
    <w:rsid w:val="002C1794"/>
    <w:rsid w:val="002C1D70"/>
    <w:rsid w:val="002D2284"/>
    <w:rsid w:val="002E77E3"/>
    <w:rsid w:val="002F05CC"/>
    <w:rsid w:val="003115B3"/>
    <w:rsid w:val="003163B5"/>
    <w:rsid w:val="0034544F"/>
    <w:rsid w:val="003772A0"/>
    <w:rsid w:val="00380CB5"/>
    <w:rsid w:val="003B6B15"/>
    <w:rsid w:val="003C0B16"/>
    <w:rsid w:val="003E5243"/>
    <w:rsid w:val="00404F17"/>
    <w:rsid w:val="004213D7"/>
    <w:rsid w:val="0042394B"/>
    <w:rsid w:val="00473B08"/>
    <w:rsid w:val="00474B5F"/>
    <w:rsid w:val="00485470"/>
    <w:rsid w:val="004957DC"/>
    <w:rsid w:val="004B2C9D"/>
    <w:rsid w:val="004C2D29"/>
    <w:rsid w:val="004D5D86"/>
    <w:rsid w:val="004E667D"/>
    <w:rsid w:val="004E6AF9"/>
    <w:rsid w:val="00513FB9"/>
    <w:rsid w:val="00530D4A"/>
    <w:rsid w:val="005861B4"/>
    <w:rsid w:val="005874F0"/>
    <w:rsid w:val="005C279C"/>
    <w:rsid w:val="005D4ADF"/>
    <w:rsid w:val="005E384D"/>
    <w:rsid w:val="005E570E"/>
    <w:rsid w:val="005F2181"/>
    <w:rsid w:val="005F724B"/>
    <w:rsid w:val="00615340"/>
    <w:rsid w:val="0063065F"/>
    <w:rsid w:val="0063072B"/>
    <w:rsid w:val="00643CE1"/>
    <w:rsid w:val="006465F6"/>
    <w:rsid w:val="00662891"/>
    <w:rsid w:val="00672A62"/>
    <w:rsid w:val="00675FCB"/>
    <w:rsid w:val="006A7572"/>
    <w:rsid w:val="006C17AB"/>
    <w:rsid w:val="006C3914"/>
    <w:rsid w:val="006D2C51"/>
    <w:rsid w:val="00736D87"/>
    <w:rsid w:val="0074184E"/>
    <w:rsid w:val="00745A14"/>
    <w:rsid w:val="00755209"/>
    <w:rsid w:val="00755F8D"/>
    <w:rsid w:val="00796503"/>
    <w:rsid w:val="007B6C5F"/>
    <w:rsid w:val="007D56C8"/>
    <w:rsid w:val="007E7303"/>
    <w:rsid w:val="007F7B2F"/>
    <w:rsid w:val="00803162"/>
    <w:rsid w:val="008136B1"/>
    <w:rsid w:val="008A7978"/>
    <w:rsid w:val="008D1750"/>
    <w:rsid w:val="008E4913"/>
    <w:rsid w:val="008F4594"/>
    <w:rsid w:val="00900464"/>
    <w:rsid w:val="0090100E"/>
    <w:rsid w:val="0093767E"/>
    <w:rsid w:val="00965538"/>
    <w:rsid w:val="00972A02"/>
    <w:rsid w:val="00976FB3"/>
    <w:rsid w:val="0099517C"/>
    <w:rsid w:val="009B2ECD"/>
    <w:rsid w:val="009B5DFA"/>
    <w:rsid w:val="009B6FD7"/>
    <w:rsid w:val="009B7914"/>
    <w:rsid w:val="009D25D2"/>
    <w:rsid w:val="00A27CEF"/>
    <w:rsid w:val="00A43885"/>
    <w:rsid w:val="00A50388"/>
    <w:rsid w:val="00A51FAE"/>
    <w:rsid w:val="00A566E7"/>
    <w:rsid w:val="00A613C1"/>
    <w:rsid w:val="00A76A21"/>
    <w:rsid w:val="00A940D3"/>
    <w:rsid w:val="00A96FCA"/>
    <w:rsid w:val="00A978B3"/>
    <w:rsid w:val="00AA4BE8"/>
    <w:rsid w:val="00AA5D1C"/>
    <w:rsid w:val="00AB510E"/>
    <w:rsid w:val="00AC7BA9"/>
    <w:rsid w:val="00AF2006"/>
    <w:rsid w:val="00B0425E"/>
    <w:rsid w:val="00B92AA6"/>
    <w:rsid w:val="00B9498A"/>
    <w:rsid w:val="00BD684A"/>
    <w:rsid w:val="00BE1C78"/>
    <w:rsid w:val="00BE7746"/>
    <w:rsid w:val="00BF110C"/>
    <w:rsid w:val="00BF13C3"/>
    <w:rsid w:val="00BF6C06"/>
    <w:rsid w:val="00C171C8"/>
    <w:rsid w:val="00C20AD9"/>
    <w:rsid w:val="00C230CC"/>
    <w:rsid w:val="00C32DAE"/>
    <w:rsid w:val="00C40E24"/>
    <w:rsid w:val="00C82CEC"/>
    <w:rsid w:val="00C96980"/>
    <w:rsid w:val="00C96EF5"/>
    <w:rsid w:val="00CB3DF8"/>
    <w:rsid w:val="00CE2728"/>
    <w:rsid w:val="00D1109B"/>
    <w:rsid w:val="00D16C17"/>
    <w:rsid w:val="00D32B51"/>
    <w:rsid w:val="00D34145"/>
    <w:rsid w:val="00D34668"/>
    <w:rsid w:val="00D3740E"/>
    <w:rsid w:val="00D67254"/>
    <w:rsid w:val="00D82F57"/>
    <w:rsid w:val="00D841A5"/>
    <w:rsid w:val="00D914D2"/>
    <w:rsid w:val="00DA25DB"/>
    <w:rsid w:val="00DB15B9"/>
    <w:rsid w:val="00DB39E5"/>
    <w:rsid w:val="00DD4251"/>
    <w:rsid w:val="00DF48BB"/>
    <w:rsid w:val="00E02B50"/>
    <w:rsid w:val="00E03F11"/>
    <w:rsid w:val="00E06DC8"/>
    <w:rsid w:val="00E220B5"/>
    <w:rsid w:val="00E609C4"/>
    <w:rsid w:val="00E66F12"/>
    <w:rsid w:val="00EA565B"/>
    <w:rsid w:val="00EA6242"/>
    <w:rsid w:val="00EE0325"/>
    <w:rsid w:val="00F0432C"/>
    <w:rsid w:val="00F37806"/>
    <w:rsid w:val="00F37C8A"/>
    <w:rsid w:val="00F4213B"/>
    <w:rsid w:val="00F422DF"/>
    <w:rsid w:val="00F66DED"/>
    <w:rsid w:val="00F77675"/>
    <w:rsid w:val="00F80BAF"/>
    <w:rsid w:val="00F849ED"/>
    <w:rsid w:val="00F92398"/>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paragraph" w:styleId="NormalWeb">
    <w:name w:val="Normal (Web)"/>
    <w:basedOn w:val="Normal"/>
    <w:uiPriority w:val="99"/>
    <w:semiHidden/>
    <w:unhideWhenUsed/>
    <w:rsid w:val="00745A1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7295">
      <w:bodyDiv w:val="1"/>
      <w:marLeft w:val="0"/>
      <w:marRight w:val="0"/>
      <w:marTop w:val="0"/>
      <w:marBottom w:val="0"/>
      <w:divBdr>
        <w:top w:val="none" w:sz="0" w:space="0" w:color="auto"/>
        <w:left w:val="none" w:sz="0" w:space="0" w:color="auto"/>
        <w:bottom w:val="none" w:sz="0" w:space="0" w:color="auto"/>
        <w:right w:val="none" w:sz="0" w:space="0" w:color="auto"/>
      </w:divBdr>
    </w:div>
    <w:div w:id="399906117">
      <w:bodyDiv w:val="1"/>
      <w:marLeft w:val="0"/>
      <w:marRight w:val="0"/>
      <w:marTop w:val="0"/>
      <w:marBottom w:val="0"/>
      <w:divBdr>
        <w:top w:val="none" w:sz="0" w:space="0" w:color="auto"/>
        <w:left w:val="none" w:sz="0" w:space="0" w:color="auto"/>
        <w:bottom w:val="none" w:sz="0" w:space="0" w:color="auto"/>
        <w:right w:val="none" w:sz="0" w:space="0" w:color="auto"/>
      </w:divBdr>
    </w:div>
    <w:div w:id="586887716">
      <w:bodyDiv w:val="1"/>
      <w:marLeft w:val="0"/>
      <w:marRight w:val="0"/>
      <w:marTop w:val="0"/>
      <w:marBottom w:val="0"/>
      <w:divBdr>
        <w:top w:val="none" w:sz="0" w:space="0" w:color="auto"/>
        <w:left w:val="none" w:sz="0" w:space="0" w:color="auto"/>
        <w:bottom w:val="none" w:sz="0" w:space="0" w:color="auto"/>
        <w:right w:val="none" w:sz="0" w:space="0" w:color="auto"/>
      </w:divBdr>
    </w:div>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1481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row.gov.uk/downloads/file/31683/HAR_PH_HEALTH_AND_WELLBEING_STRATEGY_web_v2.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anuw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5543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35</cp:revision>
  <cp:lastPrinted>2007-07-12T09:53:00Z</cp:lastPrinted>
  <dcterms:created xsi:type="dcterms:W3CDTF">2024-01-10T11:07:00Z</dcterms:created>
  <dcterms:modified xsi:type="dcterms:W3CDTF">2024-01-12T12:12:00Z</dcterms:modified>
</cp:coreProperties>
</file>